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 w:eastAsiaTheme="minorEastAsia"/>
          <w:sz w:val="36"/>
          <w:szCs w:val="36"/>
        </w:rPr>
      </w:pPr>
    </w:p>
    <w:p>
      <w:pPr>
        <w:spacing w:line="560" w:lineRule="exact"/>
        <w:ind w:firstLine="880" w:firstLineChars="200"/>
        <w:jc w:val="center"/>
        <w:rPr>
          <w:rFonts w:ascii="黑体" w:hAnsi="黑体" w:eastAsia="黑体"/>
          <w:sz w:val="44"/>
          <w:szCs w:val="44"/>
        </w:rPr>
      </w:pPr>
      <w:r>
        <w:rPr>
          <w:rFonts w:hint="eastAsia" w:ascii="黑体" w:hAnsi="黑体" w:eastAsia="黑体"/>
          <w:sz w:val="44"/>
          <w:szCs w:val="44"/>
        </w:rPr>
        <w:t>2017年度霸州市人民政府支援油田建设办公室</w:t>
      </w:r>
    </w:p>
    <w:p>
      <w:pPr>
        <w:spacing w:line="560" w:lineRule="exact"/>
        <w:ind w:firstLine="880" w:firstLineChars="200"/>
        <w:jc w:val="center"/>
        <w:rPr>
          <w:rFonts w:ascii="黑体" w:hAnsi="黑体" w:eastAsia="黑体"/>
          <w:color w:val="FF0000"/>
          <w:sz w:val="44"/>
          <w:szCs w:val="44"/>
        </w:rPr>
      </w:pPr>
      <w:r>
        <w:rPr>
          <w:rFonts w:hint="eastAsia" w:ascii="黑体" w:hAnsi="黑体" w:eastAsia="黑体"/>
          <w:sz w:val="44"/>
          <w:szCs w:val="44"/>
        </w:rPr>
        <w:t>决算信息公开情况说明</w:t>
      </w:r>
    </w:p>
    <w:p>
      <w:pPr>
        <w:widowControl/>
        <w:spacing w:line="560" w:lineRule="exact"/>
        <w:rPr>
          <w:rFonts w:ascii="仿宋_GB2312" w:hAnsi="仿宋" w:eastAsiaTheme="minorEastAsia"/>
          <w:color w:val="FF0000"/>
          <w:sz w:val="32"/>
          <w:szCs w:val="32"/>
        </w:rPr>
      </w:pP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部门职责及机构设置情况</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部门职责：</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 xml:space="preserve"> 协调好油田各生产建设和生活服务单位同我市发生的各种关系，配合油田部门搞好综合治理；协调油田部门在勘探、开发、选线、定测、确站和生产建设中与地方的关系；负责办理拆迁、临时占地、提供土源、确定土价工作和签订补偿协议工作，保障在油田建设中对地方造成损害的合理赔付；协同有关部门做好预防和处理油田生产过程中造成的污染问题；争取油田对我市建设的支持和帮助。</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协调好铁路各建设和营运部门同我市发生的各种关系，配合铁路部门搞好综合治理；协调铁路部门在勘探、开发、选线、定测、确站和生产建设中与地方的关系；负责办理拆迁、临时占地、提供地源、确定土价工作和签订补偿协议工作，保障在铁路建设和营运中对地方造成损害的合理赔付；协同有关部门做好预防和处理铁路生产过程中造成的污染问题；争取铁路对我市建设的支持和帮助</w:t>
      </w:r>
      <w:r>
        <w:rPr>
          <w:rFonts w:ascii="仿宋" w:hAnsi="仿宋" w:eastAsia="仿宋"/>
          <w:sz w:val="32"/>
          <w:szCs w:val="32"/>
        </w:rPr>
        <w:t>。</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做好我市地方铁路专线的管理工作，进一步完善地方铁路专用线及地方货物的设施，做好对外招商引资工作，是地方铁路专用线及地方货物在我市经济发展中发挥更大的作用。</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（四）</w:t>
      </w:r>
      <w:r>
        <w:rPr>
          <w:rFonts w:hint="eastAsia" w:ascii="仿宋" w:hAnsi="仿宋" w:eastAsia="仿宋"/>
          <w:sz w:val="32"/>
          <w:szCs w:val="32"/>
        </w:rPr>
        <w:t>完成好支援油田、铁路建设的同时，发展同油田、铁路相关部门的友好协作关系，促进相互之间的友谊；争取油田、铁路对我市经济发展和各项事业的支持和帮助；完成好市委、市政府交办的各项工作。</w:t>
      </w:r>
      <w:r>
        <w:rPr>
          <w:rFonts w:ascii="仿宋" w:hAnsi="仿宋" w:eastAsia="仿宋"/>
          <w:sz w:val="32"/>
          <w:szCs w:val="32"/>
        </w:rPr>
        <w:t>   </w:t>
      </w:r>
    </w:p>
    <w:p>
      <w:pPr>
        <w:widowControl/>
        <w:spacing w:line="560" w:lineRule="exact"/>
        <w:ind w:firstLine="280" w:firstLineChars="100"/>
        <w:jc w:val="left"/>
        <w:rPr>
          <w:rFonts w:ascii="仿宋" w:hAnsi="仿宋" w:eastAsia="仿宋"/>
          <w:sz w:val="32"/>
          <w:szCs w:val="32"/>
        </w:rPr>
      </w:pPr>
      <w:r>
        <w:rPr>
          <w:rFonts w:hint="eastAsia" w:ascii="黑体" w:hAnsi="黑体" w:eastAsia="黑体" w:cs="黑体"/>
          <w:sz w:val="28"/>
          <w:szCs w:val="28"/>
        </w:rPr>
        <w:t>机构设置：</w:t>
      </w:r>
    </w:p>
    <w:p>
      <w:pPr>
        <w:widowControl/>
        <w:spacing w:line="560" w:lineRule="exact"/>
        <w:ind w:firstLine="320" w:firstLineChars="100"/>
        <w:jc w:val="left"/>
        <w:rPr>
          <w:rFonts w:ascii="仿宋" w:hAnsi="仿宋" w:eastAsia="仿宋"/>
          <w:sz w:val="32"/>
          <w:szCs w:val="32"/>
        </w:rPr>
      </w:pPr>
      <w:r>
        <w:rPr>
          <w:rFonts w:hint="eastAsia" w:ascii="仿宋" w:hAnsi="仿宋" w:eastAsia="仿宋"/>
          <w:sz w:val="32"/>
          <w:szCs w:val="32"/>
        </w:rPr>
        <w:t>霸州市人民政府支援油田铁路建设办公室是主管全市支援油田铁路建设工作的市政府直属事业机构，下设综合事务股、财务股、支油协调股、支铁协调股四个股室。</w:t>
      </w:r>
    </w:p>
    <w:p>
      <w:pPr>
        <w:spacing w:line="560" w:lineRule="exact"/>
        <w:ind w:firstLine="280" w:firstLineChars="100"/>
        <w:outlineLvl w:val="0"/>
        <w:rPr>
          <w:rFonts w:eastAsia="方正小标宋_GBK"/>
          <w:sz w:val="28"/>
          <w:szCs w:val="28"/>
        </w:rPr>
      </w:pPr>
      <w:r>
        <w:rPr>
          <w:rFonts w:eastAsia="方正小标宋_GBK"/>
          <w:sz w:val="28"/>
          <w:szCs w:val="28"/>
        </w:rPr>
        <w:t>部门机构设置情况</w:t>
      </w:r>
    </w:p>
    <w:tbl>
      <w:tblPr>
        <w:tblStyle w:val="6"/>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76"/>
        <w:gridCol w:w="142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776" w:type="dxa"/>
            <w:vMerge w:val="restart"/>
            <w:vAlign w:val="center"/>
          </w:tcPr>
          <w:p>
            <w:pPr>
              <w:spacing w:line="560" w:lineRule="exact"/>
              <w:jc w:val="center"/>
              <w:rPr>
                <w:rFonts w:eastAsia="方正书宋_GBK"/>
                <w:b/>
              </w:rPr>
            </w:pPr>
            <w:r>
              <w:rPr>
                <w:rFonts w:eastAsia="方正书宋_GBK"/>
                <w:b/>
              </w:rPr>
              <w:t>单位名称</w:t>
            </w:r>
          </w:p>
        </w:tc>
        <w:tc>
          <w:tcPr>
            <w:tcW w:w="1427" w:type="dxa"/>
            <w:vMerge w:val="restart"/>
            <w:vAlign w:val="center"/>
          </w:tcPr>
          <w:p>
            <w:pPr>
              <w:spacing w:line="560" w:lineRule="exact"/>
              <w:jc w:val="center"/>
              <w:rPr>
                <w:rFonts w:eastAsia="方正书宋_GBK"/>
                <w:b/>
              </w:rPr>
            </w:pPr>
            <w:r>
              <w:rPr>
                <w:rFonts w:eastAsia="方正书宋_GBK"/>
                <w:b/>
              </w:rPr>
              <w:t>单位性质</w:t>
            </w:r>
          </w:p>
        </w:tc>
        <w:tc>
          <w:tcPr>
            <w:tcW w:w="1190" w:type="dxa"/>
            <w:vMerge w:val="restart"/>
            <w:vAlign w:val="center"/>
          </w:tcPr>
          <w:p>
            <w:pPr>
              <w:spacing w:line="560" w:lineRule="exact"/>
              <w:jc w:val="center"/>
              <w:rPr>
                <w:rFonts w:eastAsia="方正书宋_GBK"/>
                <w:b/>
              </w:rPr>
            </w:pPr>
            <w:r>
              <w:rPr>
                <w:rFonts w:eastAsia="方正书宋_GBK"/>
                <w:b/>
              </w:rPr>
              <w:t>单位规格</w:t>
            </w:r>
          </w:p>
        </w:tc>
        <w:tc>
          <w:tcPr>
            <w:tcW w:w="2707" w:type="dxa"/>
            <w:vMerge w:val="restart"/>
            <w:vAlign w:val="center"/>
          </w:tcPr>
          <w:p>
            <w:pPr>
              <w:spacing w:line="56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776" w:type="dxa"/>
            <w:vMerge w:val="continue"/>
            <w:vAlign w:val="center"/>
          </w:tcPr>
          <w:p>
            <w:pPr>
              <w:spacing w:line="560" w:lineRule="exact"/>
              <w:ind w:firstLine="420" w:firstLineChars="200"/>
              <w:jc w:val="center"/>
              <w:outlineLvl w:val="0"/>
            </w:pPr>
          </w:p>
        </w:tc>
        <w:tc>
          <w:tcPr>
            <w:tcW w:w="1427" w:type="dxa"/>
            <w:vMerge w:val="continue"/>
            <w:vAlign w:val="center"/>
          </w:tcPr>
          <w:p>
            <w:pPr>
              <w:spacing w:line="560" w:lineRule="exact"/>
              <w:ind w:firstLine="420" w:firstLineChars="200"/>
              <w:jc w:val="center"/>
              <w:outlineLvl w:val="0"/>
            </w:pPr>
          </w:p>
        </w:tc>
        <w:tc>
          <w:tcPr>
            <w:tcW w:w="1190" w:type="dxa"/>
            <w:vMerge w:val="continue"/>
            <w:vAlign w:val="center"/>
          </w:tcPr>
          <w:p>
            <w:pPr>
              <w:spacing w:line="560" w:lineRule="exact"/>
              <w:ind w:firstLine="420" w:firstLineChars="200"/>
              <w:jc w:val="center"/>
              <w:outlineLvl w:val="0"/>
            </w:pPr>
          </w:p>
        </w:tc>
        <w:tc>
          <w:tcPr>
            <w:tcW w:w="2707" w:type="dxa"/>
            <w:vMerge w:val="continue"/>
            <w:vAlign w:val="center"/>
          </w:tcPr>
          <w:p>
            <w:pPr>
              <w:spacing w:line="560" w:lineRule="exact"/>
              <w:ind w:firstLine="420" w:firstLineChars="200"/>
              <w:jc w:val="center"/>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3776" w:type="dxa"/>
            <w:vAlign w:val="center"/>
          </w:tcPr>
          <w:p>
            <w:pPr>
              <w:spacing w:line="560" w:lineRule="exact"/>
              <w:jc w:val="center"/>
              <w:rPr>
                <w:rFonts w:eastAsia="方正书宋_GBK"/>
              </w:rPr>
            </w:pPr>
            <w:r>
              <w:rPr>
                <w:rFonts w:hint="eastAsia" w:eastAsia="方正书宋_GBK"/>
              </w:rPr>
              <w:t>霸州市人民政府支援油田建设办公室</w:t>
            </w:r>
          </w:p>
        </w:tc>
        <w:tc>
          <w:tcPr>
            <w:tcW w:w="1427" w:type="dxa"/>
            <w:vAlign w:val="center"/>
          </w:tcPr>
          <w:p>
            <w:pPr>
              <w:spacing w:line="560" w:lineRule="exact"/>
              <w:jc w:val="center"/>
              <w:rPr>
                <w:rFonts w:eastAsia="方正书宋_GBK"/>
              </w:rPr>
            </w:pPr>
            <w:r>
              <w:rPr>
                <w:rFonts w:hint="eastAsia" w:eastAsia="方正书宋_GBK"/>
              </w:rPr>
              <w:t>事业单位</w:t>
            </w:r>
          </w:p>
        </w:tc>
        <w:tc>
          <w:tcPr>
            <w:tcW w:w="1190" w:type="dxa"/>
            <w:vAlign w:val="center"/>
          </w:tcPr>
          <w:p>
            <w:pPr>
              <w:spacing w:line="560" w:lineRule="exact"/>
              <w:jc w:val="center"/>
              <w:rPr>
                <w:rFonts w:eastAsia="方正书宋_GBK"/>
              </w:rPr>
            </w:pPr>
            <w:r>
              <w:rPr>
                <w:rFonts w:eastAsia="方正书宋_GBK"/>
              </w:rPr>
              <w:t>正</w:t>
            </w:r>
            <w:r>
              <w:rPr>
                <w:rFonts w:hint="eastAsia" w:eastAsia="方正书宋_GBK"/>
              </w:rPr>
              <w:t>科</w:t>
            </w:r>
            <w:r>
              <w:rPr>
                <w:rFonts w:eastAsia="方正书宋_GBK"/>
              </w:rPr>
              <w:t>级</w:t>
            </w:r>
          </w:p>
        </w:tc>
        <w:tc>
          <w:tcPr>
            <w:tcW w:w="2707" w:type="dxa"/>
            <w:vAlign w:val="center"/>
          </w:tcPr>
          <w:p>
            <w:pPr>
              <w:spacing w:line="560" w:lineRule="exact"/>
              <w:jc w:val="center"/>
              <w:rPr>
                <w:rFonts w:hint="eastAsia" w:eastAsia="方正书宋_GBK"/>
                <w:lang w:eastAsia="zh-CN"/>
              </w:rPr>
            </w:pPr>
            <w:r>
              <w:rPr>
                <w:rFonts w:hint="eastAsia" w:eastAsia="方正书宋_GBK"/>
              </w:rPr>
              <w:t>财政</w:t>
            </w:r>
            <w:r>
              <w:rPr>
                <w:rFonts w:hint="eastAsia" w:eastAsia="方正书宋_GBK"/>
                <w:lang w:val="en-US" w:eastAsia="zh-CN"/>
              </w:rPr>
              <w:t>性</w:t>
            </w:r>
            <w:r>
              <w:rPr>
                <w:rFonts w:hint="eastAsia" w:eastAsia="方正书宋_GBK"/>
              </w:rPr>
              <w:t>资金基本保</w:t>
            </w:r>
            <w:r>
              <w:rPr>
                <w:rFonts w:hint="eastAsia" w:eastAsia="方正书宋_GBK"/>
                <w:lang w:val="en-US" w:eastAsia="zh-CN"/>
              </w:rPr>
              <w:t>证</w:t>
            </w:r>
          </w:p>
        </w:tc>
      </w:tr>
    </w:tbl>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我单位为1级预算单位，无下属单位，无汇总决算。</w:t>
      </w:r>
    </w:p>
    <w:p>
      <w:pPr>
        <w:widowControl/>
        <w:spacing w:line="560" w:lineRule="exact"/>
        <w:ind w:firstLine="560" w:firstLineChars="200"/>
        <w:jc w:val="left"/>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部门决算报表（见附表）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收入支出决算总表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收入决算表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支出决算表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财政拨款收入支出决算总表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一般公共预算财政拨款支出决算表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一般公共预算财政拨款基本支出决算表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政府性基金预算财政拨款收入支出决算表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（八）国有资本经营预算财政拨款收入支出决算表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（九） “三公”经费及相关信息统计表</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（十）政府采购情况表</w:t>
      </w:r>
    </w:p>
    <w:p>
      <w:pPr>
        <w:spacing w:line="560" w:lineRule="exact"/>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反映本部门当年总体收入支出情况。</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w:t>
      </w:r>
      <w:r>
        <w:rPr>
          <w:rFonts w:hint="eastAsia" w:ascii="仿宋" w:hAnsi="仿宋" w:eastAsia="仿宋"/>
          <w:sz w:val="32"/>
          <w:szCs w:val="32"/>
        </w:rPr>
        <w:t>度</w:t>
      </w:r>
      <w:r>
        <w:rPr>
          <w:rFonts w:ascii="仿宋" w:hAnsi="仿宋" w:eastAsia="仿宋"/>
          <w:sz w:val="32"/>
          <w:szCs w:val="32"/>
        </w:rPr>
        <w:t>决算收入总计</w:t>
      </w:r>
      <w:r>
        <w:rPr>
          <w:rFonts w:hint="eastAsia" w:ascii="仿宋" w:hAnsi="仿宋" w:eastAsia="仿宋"/>
          <w:sz w:val="32"/>
          <w:szCs w:val="32"/>
        </w:rPr>
        <w:t>836.58</w:t>
      </w:r>
      <w:r>
        <w:rPr>
          <w:rFonts w:ascii="仿宋" w:hAnsi="仿宋" w:eastAsia="仿宋"/>
          <w:sz w:val="32"/>
          <w:szCs w:val="32"/>
        </w:rPr>
        <w:t>万元，决算支出总计</w:t>
      </w:r>
      <w:r>
        <w:rPr>
          <w:rFonts w:hint="eastAsia" w:ascii="仿宋" w:hAnsi="仿宋" w:eastAsia="仿宋"/>
          <w:sz w:val="32"/>
          <w:szCs w:val="32"/>
        </w:rPr>
        <w:t>856.09</w:t>
      </w:r>
      <w:r>
        <w:rPr>
          <w:rFonts w:ascii="仿宋" w:hAnsi="仿宋" w:eastAsia="仿宋"/>
          <w:sz w:val="32"/>
          <w:szCs w:val="32"/>
        </w:rPr>
        <w:t>万元。与2016年</w:t>
      </w:r>
      <w:r>
        <w:rPr>
          <w:rFonts w:hint="eastAsia" w:ascii="仿宋" w:hAnsi="仿宋" w:eastAsia="仿宋"/>
          <w:sz w:val="32"/>
          <w:szCs w:val="32"/>
        </w:rPr>
        <w:t>度决算</w:t>
      </w:r>
      <w:r>
        <w:rPr>
          <w:rFonts w:ascii="仿宋" w:hAnsi="仿宋" w:eastAsia="仿宋"/>
          <w:sz w:val="32"/>
          <w:szCs w:val="32"/>
        </w:rPr>
        <w:t>相比，</w:t>
      </w:r>
      <w:r>
        <w:rPr>
          <w:rFonts w:hint="eastAsia" w:ascii="仿宋" w:hAnsi="仿宋" w:eastAsia="仿宋"/>
          <w:sz w:val="32"/>
          <w:szCs w:val="32"/>
        </w:rPr>
        <w:t>决算收入增加165.24</w:t>
      </w:r>
      <w:r>
        <w:rPr>
          <w:rFonts w:ascii="仿宋" w:hAnsi="仿宋" w:eastAsia="仿宋"/>
          <w:sz w:val="32"/>
          <w:szCs w:val="32"/>
        </w:rPr>
        <w:t>万元，</w:t>
      </w:r>
      <w:r>
        <w:rPr>
          <w:rFonts w:hint="eastAsia" w:ascii="仿宋" w:hAnsi="仿宋" w:eastAsia="仿宋"/>
          <w:sz w:val="32"/>
          <w:szCs w:val="32"/>
        </w:rPr>
        <w:t>增长24.61</w:t>
      </w:r>
      <w:r>
        <w:rPr>
          <w:rFonts w:ascii="仿宋" w:hAnsi="仿宋" w:eastAsia="仿宋"/>
          <w:sz w:val="32"/>
          <w:szCs w:val="32"/>
        </w:rPr>
        <w:t>%，主要原因是</w:t>
      </w:r>
      <w:r>
        <w:rPr>
          <w:rFonts w:hint="eastAsia" w:ascii="仿宋" w:hAnsi="仿宋" w:eastAsia="仿宋"/>
          <w:sz w:val="32"/>
          <w:szCs w:val="32"/>
        </w:rPr>
        <w:t>人员经费增加</w:t>
      </w:r>
      <w:r>
        <w:rPr>
          <w:rFonts w:ascii="仿宋" w:hAnsi="仿宋" w:eastAsia="仿宋"/>
          <w:sz w:val="32"/>
          <w:szCs w:val="32"/>
        </w:rPr>
        <w:t>。</w:t>
      </w:r>
      <w:r>
        <w:rPr>
          <w:rFonts w:hint="eastAsia" w:ascii="仿宋" w:hAnsi="仿宋" w:eastAsia="仿宋"/>
          <w:sz w:val="32"/>
          <w:szCs w:val="32"/>
        </w:rPr>
        <w:t>决算支出增加198万元，增长30.09%，主要原因是人员经费增加。</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（二）收入决算情况说明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反映本部门当年收入总体情况。</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w:t>
      </w:r>
      <w:r>
        <w:rPr>
          <w:rFonts w:hint="eastAsia" w:ascii="仿宋" w:hAnsi="仿宋" w:eastAsia="仿宋"/>
          <w:sz w:val="32"/>
          <w:szCs w:val="32"/>
        </w:rPr>
        <w:t>度</w:t>
      </w:r>
      <w:r>
        <w:rPr>
          <w:rFonts w:ascii="仿宋" w:hAnsi="仿宋" w:eastAsia="仿宋"/>
          <w:sz w:val="32"/>
          <w:szCs w:val="32"/>
        </w:rPr>
        <w:t>收入</w:t>
      </w:r>
      <w:r>
        <w:rPr>
          <w:rFonts w:hint="eastAsia" w:ascii="仿宋" w:hAnsi="仿宋" w:eastAsia="仿宋"/>
          <w:sz w:val="32"/>
          <w:szCs w:val="32"/>
        </w:rPr>
        <w:t>合计836.58</w:t>
      </w:r>
      <w:r>
        <w:rPr>
          <w:rFonts w:ascii="仿宋" w:hAnsi="仿宋" w:eastAsia="仿宋"/>
          <w:sz w:val="32"/>
          <w:szCs w:val="32"/>
        </w:rPr>
        <w:t>万元，其中</w:t>
      </w:r>
      <w:r>
        <w:rPr>
          <w:rFonts w:hint="eastAsia" w:ascii="仿宋" w:hAnsi="仿宋" w:eastAsia="仿宋"/>
          <w:sz w:val="32"/>
          <w:szCs w:val="32"/>
        </w:rPr>
        <w:t>财政拨款收入316.29</w:t>
      </w:r>
      <w:r>
        <w:rPr>
          <w:rFonts w:ascii="仿宋" w:hAnsi="仿宋" w:eastAsia="仿宋"/>
          <w:sz w:val="32"/>
          <w:szCs w:val="32"/>
        </w:rPr>
        <w:t>万元</w:t>
      </w:r>
      <w:r>
        <w:rPr>
          <w:rFonts w:hint="eastAsia" w:ascii="仿宋" w:hAnsi="仿宋" w:eastAsia="仿宋"/>
          <w:sz w:val="32"/>
          <w:szCs w:val="32"/>
        </w:rPr>
        <w:t>，占比37.81%；事业收入0万元，占比0%；其他收入520.29万元，占比62.19%。</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（三）支出决算情况说明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反映本部门当年支出总体情况。</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年部门</w:t>
      </w:r>
      <w:r>
        <w:rPr>
          <w:rFonts w:hint="eastAsia" w:ascii="仿宋" w:hAnsi="仿宋" w:eastAsia="仿宋"/>
          <w:sz w:val="32"/>
          <w:szCs w:val="32"/>
        </w:rPr>
        <w:t>决</w:t>
      </w:r>
      <w:r>
        <w:rPr>
          <w:rFonts w:ascii="仿宋" w:hAnsi="仿宋" w:eastAsia="仿宋"/>
          <w:sz w:val="32"/>
          <w:szCs w:val="32"/>
        </w:rPr>
        <w:t>算支出为</w:t>
      </w:r>
      <w:r>
        <w:rPr>
          <w:rFonts w:hint="eastAsia" w:ascii="仿宋" w:hAnsi="仿宋" w:eastAsia="仿宋"/>
          <w:sz w:val="32"/>
          <w:szCs w:val="32"/>
        </w:rPr>
        <w:t>856.09</w:t>
      </w:r>
      <w:r>
        <w:rPr>
          <w:rFonts w:ascii="仿宋" w:hAnsi="仿宋" w:eastAsia="仿宋"/>
          <w:sz w:val="32"/>
          <w:szCs w:val="32"/>
        </w:rPr>
        <w:t>万元，其中：基本支出</w:t>
      </w:r>
      <w:r>
        <w:rPr>
          <w:rFonts w:hint="eastAsia" w:ascii="仿宋" w:hAnsi="仿宋" w:eastAsia="仿宋"/>
          <w:sz w:val="32"/>
          <w:szCs w:val="32"/>
        </w:rPr>
        <w:t>802.93</w:t>
      </w:r>
      <w:r>
        <w:rPr>
          <w:rFonts w:ascii="仿宋" w:hAnsi="仿宋" w:eastAsia="仿宋"/>
          <w:sz w:val="32"/>
          <w:szCs w:val="32"/>
        </w:rPr>
        <w:t>万元，</w:t>
      </w:r>
      <w:r>
        <w:rPr>
          <w:rFonts w:hint="eastAsia" w:ascii="仿宋" w:hAnsi="仿宋" w:eastAsia="仿宋"/>
          <w:sz w:val="32"/>
          <w:szCs w:val="32"/>
        </w:rPr>
        <w:t>占比93.79%，</w:t>
      </w:r>
      <w:r>
        <w:rPr>
          <w:rFonts w:ascii="仿宋" w:hAnsi="仿宋" w:eastAsia="仿宋"/>
          <w:sz w:val="32"/>
          <w:szCs w:val="32"/>
        </w:rPr>
        <w:t>包含人员经费支出</w:t>
      </w:r>
      <w:r>
        <w:rPr>
          <w:rFonts w:hint="eastAsia" w:ascii="仿宋" w:hAnsi="仿宋" w:eastAsia="仿宋"/>
          <w:sz w:val="32"/>
          <w:szCs w:val="32"/>
        </w:rPr>
        <w:t>737.09</w:t>
      </w:r>
      <w:r>
        <w:rPr>
          <w:rFonts w:ascii="仿宋" w:hAnsi="仿宋" w:eastAsia="仿宋"/>
          <w:sz w:val="32"/>
          <w:szCs w:val="32"/>
        </w:rPr>
        <w:t>万元和日常公用经费支出</w:t>
      </w:r>
      <w:r>
        <w:rPr>
          <w:rFonts w:hint="eastAsia" w:ascii="仿宋" w:hAnsi="仿宋" w:eastAsia="仿宋"/>
          <w:sz w:val="32"/>
          <w:szCs w:val="32"/>
        </w:rPr>
        <w:t>65.84</w:t>
      </w:r>
      <w:r>
        <w:rPr>
          <w:rFonts w:ascii="仿宋" w:hAnsi="仿宋" w:eastAsia="仿宋"/>
          <w:sz w:val="32"/>
          <w:szCs w:val="32"/>
        </w:rPr>
        <w:t>万元；项目支出</w:t>
      </w:r>
      <w:r>
        <w:rPr>
          <w:rFonts w:hint="eastAsia" w:ascii="仿宋" w:hAnsi="仿宋" w:eastAsia="仿宋"/>
          <w:sz w:val="32"/>
          <w:szCs w:val="32"/>
        </w:rPr>
        <w:t>53.16</w:t>
      </w:r>
      <w:r>
        <w:rPr>
          <w:rFonts w:ascii="仿宋" w:hAnsi="仿宋" w:eastAsia="仿宋"/>
          <w:sz w:val="32"/>
          <w:szCs w:val="32"/>
        </w:rPr>
        <w:t>万元</w:t>
      </w:r>
      <w:r>
        <w:rPr>
          <w:rFonts w:hint="eastAsia" w:ascii="仿宋" w:hAnsi="仿宋" w:eastAsia="仿宋"/>
          <w:sz w:val="32"/>
          <w:szCs w:val="32"/>
        </w:rPr>
        <w:t>，占比6.21%</w:t>
      </w:r>
      <w:r>
        <w:rPr>
          <w:rFonts w:ascii="仿宋" w:hAnsi="仿宋" w:eastAsia="仿宋"/>
          <w:sz w:val="32"/>
          <w:szCs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803" w:firstLineChars="250"/>
        <w:rPr>
          <w:rFonts w:ascii="仿宋" w:hAnsi="仿宋" w:eastAsia="仿宋" w:cs="仿宋"/>
          <w:b/>
          <w:bCs/>
          <w:color w:val="FF0000"/>
          <w:sz w:val="32"/>
          <w:szCs w:val="32"/>
        </w:rPr>
      </w:pPr>
      <w:r>
        <w:rPr>
          <w:rFonts w:hint="eastAsia" w:ascii="仿宋" w:hAnsi="仿宋" w:eastAsia="仿宋" w:cs="仿宋"/>
          <w:b/>
          <w:bCs/>
          <w:sz w:val="32"/>
        </w:rPr>
        <w:t>1、财政拨款收支与2016年度决算对比情况</w:t>
      </w:r>
    </w:p>
    <w:p>
      <w:pPr>
        <w:snapToGrid w:val="0"/>
        <w:spacing w:line="560" w:lineRule="exact"/>
        <w:ind w:firstLine="800" w:firstLineChars="250"/>
        <w:rPr>
          <w:rFonts w:ascii="仿宋" w:hAnsi="仿宋" w:eastAsia="仿宋"/>
          <w:sz w:val="32"/>
          <w:szCs w:val="32"/>
        </w:rPr>
      </w:pPr>
      <w:r>
        <w:rPr>
          <w:rFonts w:hint="eastAsia" w:ascii="仿宋_GB2312" w:hAnsi="仿宋_GB2312" w:eastAsia="仿宋_GB2312"/>
          <w:sz w:val="32"/>
        </w:rPr>
        <w:t>霸州市人民政府支援油田建设办公室</w:t>
      </w:r>
      <w:r>
        <w:rPr>
          <w:rFonts w:hint="eastAsia" w:ascii="仿宋" w:hAnsi="仿宋" w:eastAsia="仿宋" w:cs="仿宋"/>
          <w:sz w:val="32"/>
          <w:szCs w:val="32"/>
        </w:rPr>
        <w:t>2017年财政拨款收</w:t>
      </w:r>
      <w:r>
        <w:rPr>
          <w:rFonts w:hint="eastAsia" w:ascii="仿宋" w:hAnsi="仿宋" w:eastAsia="仿宋"/>
          <w:sz w:val="32"/>
          <w:szCs w:val="32"/>
        </w:rPr>
        <w:t>入决算总计316.29万元，较2016年度决算增加70.17万元，增长28.51%，主要原因是人员经费增长。其中，一般公共预算拨款增加70.17万元，政府性基金预算财政拨款增加0万元。2017年财政拨款支出决算总计335.80万元，较2016年度决算增加102.93万元，增长44.2%，主要原因：1是人员经费增长。2是从2017年开始财政拨付日常经费。其中基本支出增加125.89万元，项目支出减少22.95万元。</w:t>
      </w:r>
    </w:p>
    <w:p>
      <w:pPr>
        <w:widowControl/>
        <w:spacing w:line="560" w:lineRule="exact"/>
        <w:ind w:firstLine="643" w:firstLineChars="200"/>
        <w:rPr>
          <w:rFonts w:ascii="仿宋" w:hAnsi="仿宋" w:eastAsia="仿宋" w:cs="仿宋"/>
          <w:b/>
          <w:bCs/>
          <w:sz w:val="32"/>
          <w:szCs w:val="22"/>
        </w:rPr>
      </w:pPr>
      <w:r>
        <w:rPr>
          <w:rFonts w:hint="eastAsia" w:ascii="仿宋" w:hAnsi="仿宋" w:eastAsia="仿宋" w:cs="仿宋"/>
          <w:b/>
          <w:bCs/>
          <w:sz w:val="32"/>
          <w:szCs w:val="22"/>
        </w:rPr>
        <w:t>2、财政拨款收支与年初预算数对比情况</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霸州市人民政府支援油田建设办公室2017年财政拨款收入决算总计316.29万元，较年初预算增加23.96万元，增长8.2%，主要原因是人员经费增长。其中，一般公共预算拨款增加23.96万元，政府性基金预算财政拨款增加0万元。2017年财政拨款支出决算总计335.8万元，较年初预算增加43.47万元，增长14.87%，主要原因是人员经费增长。其中基本支出增加40.31万元，项目支出增加3.16万元。</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60" w:lineRule="exact"/>
        <w:ind w:firstLine="800" w:firstLineChars="250"/>
        <w:rPr>
          <w:rFonts w:ascii="仿宋" w:hAnsi="仿宋" w:eastAsia="仿宋"/>
          <w:sz w:val="32"/>
          <w:szCs w:val="32"/>
        </w:rPr>
      </w:pPr>
      <w:r>
        <w:rPr>
          <w:rFonts w:hint="eastAsia" w:ascii="仿宋" w:hAnsi="仿宋" w:eastAsia="仿宋"/>
          <w:sz w:val="32"/>
          <w:szCs w:val="32"/>
        </w:rPr>
        <w:t>2017年度部门“三公”经费支出2.5万元，比预算减少0.18万元，比2016年度决算</w:t>
      </w:r>
      <w:r>
        <w:rPr>
          <w:rFonts w:ascii="仿宋" w:hAnsi="仿宋" w:eastAsia="仿宋"/>
          <w:sz w:val="32"/>
          <w:szCs w:val="32"/>
        </w:rPr>
        <w:t>增加</w:t>
      </w:r>
      <w:r>
        <w:rPr>
          <w:rFonts w:hint="eastAsia" w:ascii="仿宋" w:hAnsi="仿宋" w:eastAsia="仿宋"/>
          <w:sz w:val="32"/>
          <w:szCs w:val="32"/>
        </w:rPr>
        <w:t>0.05万元。原因是公务用车运行维护费增加了500元。无因公出国（境）支出。公务用车购置及运行维护费2.5万元（公务用车购置数量0辆，购置金额0万元，公车运行维护费2.5万元，年末公务用车保有量1辆），和预算持平，比2016年度决算</w:t>
      </w:r>
      <w:r>
        <w:rPr>
          <w:rFonts w:ascii="仿宋" w:hAnsi="仿宋" w:eastAsia="仿宋"/>
          <w:sz w:val="32"/>
          <w:szCs w:val="32"/>
        </w:rPr>
        <w:t>增加</w:t>
      </w:r>
      <w:r>
        <w:rPr>
          <w:rFonts w:hint="eastAsia" w:ascii="仿宋" w:hAnsi="仿宋" w:eastAsia="仿宋"/>
          <w:sz w:val="32"/>
          <w:szCs w:val="32"/>
        </w:rPr>
        <w:t>0.05万元，原因是公务用车运行维护费增加了500元；公务接待费0万元（2017年度国内公务接待0批次，合计接待0人次），比预算减少0.18万元，与2016年度决算持平。</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803" w:firstLineChars="25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1、预算绩效管理工作开展情况</w:t>
      </w:r>
    </w:p>
    <w:p>
      <w:pPr>
        <w:autoSpaceDE w:val="0"/>
        <w:autoSpaceDN w:val="0"/>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bCs/>
          <w:color w:val="000000"/>
          <w:kern w:val="0"/>
          <w:sz w:val="32"/>
          <w:szCs w:val="32"/>
          <w:shd w:val="clear" w:color="auto" w:fill="FFFFFF"/>
        </w:rPr>
        <w:t>霸州市人民政府支援油田建设办公室负责高铁站站前广场综合管理工作，监督、联系、协调我市各有关部门涉及高铁站站前广场的各项社会行政事务；维护社会秩序；组织社会治安管理；维护环境卫生秩序；营造规范有序、安全文明、整洁优美的环境。</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2、预算项目绩效评价开展情况</w:t>
      </w:r>
    </w:p>
    <w:p>
      <w:pPr>
        <w:autoSpaceDE w:val="0"/>
        <w:autoSpaceDN w:val="0"/>
        <w:snapToGrid w:val="0"/>
        <w:spacing w:line="560" w:lineRule="exact"/>
        <w:ind w:firstLine="640"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Cs/>
          <w:color w:val="000000"/>
          <w:kern w:val="0"/>
          <w:sz w:val="32"/>
          <w:szCs w:val="32"/>
          <w:shd w:val="clear" w:color="auto" w:fill="FFFFFF"/>
        </w:rPr>
        <w:t>霸州市人民政府支援油田建设办公室负责津保铁路霸州西站、胜芳站的站前管理工作，我办按照绩效评价两站的管理工作，使两站的工作细致、深入的进行，保证了站前广场管理规范有序，提高</w:t>
      </w:r>
      <w:r>
        <w:rPr>
          <w:rFonts w:hint="eastAsia" w:ascii="仿宋_GB2312" w:hAnsi="仿宋" w:eastAsia="仿宋_GB2312"/>
          <w:sz w:val="32"/>
          <w:szCs w:val="32"/>
        </w:rPr>
        <w:t>了公众满意度。</w:t>
      </w:r>
    </w:p>
    <w:p>
      <w:pPr>
        <w:snapToGrid w:val="0"/>
        <w:spacing w:line="560" w:lineRule="exact"/>
        <w:ind w:firstLine="321" w:firstLineChars="100"/>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firstLineChars="200"/>
        <w:rPr>
          <w:rFonts w:ascii="仿宋" w:hAnsi="仿宋" w:eastAsia="仿宋"/>
          <w:sz w:val="32"/>
          <w:szCs w:val="32"/>
        </w:rPr>
      </w:pPr>
      <w:r>
        <w:rPr>
          <w:rFonts w:eastAsia="仿宋_GB2312"/>
          <w:b/>
          <w:bCs/>
          <w:sz w:val="32"/>
          <w:szCs w:val="32"/>
        </w:rPr>
        <w:t>1</w:t>
      </w:r>
      <w:r>
        <w:rPr>
          <w:rFonts w:hint="eastAsia" w:eastAsia="仿宋_GB2312"/>
          <w:b/>
          <w:bCs/>
          <w:sz w:val="32"/>
          <w:szCs w:val="32"/>
        </w:rPr>
        <w:t>、</w:t>
      </w:r>
      <w:r>
        <w:rPr>
          <w:rFonts w:eastAsia="仿宋_GB2312"/>
          <w:b/>
          <w:bCs/>
          <w:sz w:val="32"/>
          <w:szCs w:val="32"/>
        </w:rPr>
        <w:t>机关运行经费情况</w:t>
      </w:r>
      <w:r>
        <w:rPr>
          <w:rFonts w:hint="eastAsia" w:eastAsia="仿宋_GB2312"/>
          <w:b/>
          <w:bCs/>
          <w:sz w:val="32"/>
          <w:szCs w:val="32"/>
        </w:rPr>
        <w:t>：</w:t>
      </w:r>
      <w:r>
        <w:rPr>
          <w:rFonts w:hint="eastAsia" w:ascii="仿宋_GB2312" w:hAnsi="仿宋" w:eastAsia="仿宋_GB2312"/>
          <w:sz w:val="32"/>
          <w:szCs w:val="32"/>
        </w:rPr>
        <w:t>2</w:t>
      </w:r>
      <w:r>
        <w:rPr>
          <w:rFonts w:hint="eastAsia" w:ascii="仿宋" w:hAnsi="仿宋" w:eastAsia="仿宋"/>
          <w:sz w:val="32"/>
          <w:szCs w:val="32"/>
        </w:rPr>
        <w:t>017年度部门机关运行经费支出26.13万元，比2016年度增加26.13万元，</w:t>
      </w:r>
      <w:r>
        <w:rPr>
          <w:rFonts w:hint="eastAsia" w:ascii="仿宋" w:hAnsi="仿宋" w:eastAsia="仿宋"/>
          <w:sz w:val="32"/>
          <w:szCs w:val="32"/>
          <w:lang w:val="en-US" w:eastAsia="zh-CN"/>
        </w:rPr>
        <w:t>增长100%，</w:t>
      </w:r>
      <w:r>
        <w:rPr>
          <w:rFonts w:hint="eastAsia" w:ascii="仿宋" w:hAnsi="仿宋" w:eastAsia="仿宋"/>
          <w:sz w:val="32"/>
          <w:szCs w:val="32"/>
        </w:rPr>
        <w:t>主要原因2016年度财政不拨付我部门机关运行费。2017年开始我部门办公费列入财政预算。</w:t>
      </w:r>
    </w:p>
    <w:p>
      <w:pPr>
        <w:autoSpaceDE w:val="0"/>
        <w:autoSpaceDN w:val="0"/>
        <w:snapToGrid w:val="0"/>
        <w:spacing w:line="560" w:lineRule="exact"/>
        <w:ind w:firstLine="643" w:firstLineChars="200"/>
        <w:rPr>
          <w:rFonts w:ascii="仿宋" w:hAnsi="仿宋" w:eastAsia="仿宋"/>
          <w:sz w:val="32"/>
          <w:szCs w:val="32"/>
        </w:rPr>
      </w:pPr>
      <w:r>
        <w:rPr>
          <w:rFonts w:eastAsia="仿宋_GB2312"/>
          <w:b/>
          <w:bCs/>
          <w:sz w:val="32"/>
          <w:szCs w:val="32"/>
        </w:rPr>
        <w:t>2</w:t>
      </w:r>
      <w:r>
        <w:rPr>
          <w:rFonts w:hint="eastAsia" w:eastAsia="仿宋_GB2312"/>
          <w:b/>
          <w:bCs/>
          <w:sz w:val="32"/>
          <w:szCs w:val="32"/>
        </w:rPr>
        <w:t>、</w:t>
      </w:r>
      <w:r>
        <w:rPr>
          <w:rFonts w:eastAsia="仿宋_GB2312"/>
          <w:b/>
          <w:bCs/>
          <w:sz w:val="32"/>
          <w:szCs w:val="32"/>
        </w:rPr>
        <w:t>政府采购情况</w:t>
      </w:r>
      <w:r>
        <w:rPr>
          <w:rFonts w:hint="eastAsia" w:eastAsia="仿宋_GB2312"/>
          <w:b/>
          <w:bCs/>
          <w:sz w:val="32"/>
          <w:szCs w:val="32"/>
        </w:rPr>
        <w:t>：</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w:t>
      </w:r>
      <w:r>
        <w:rPr>
          <w:rFonts w:hint="eastAsia" w:ascii="仿宋" w:hAnsi="仿宋" w:eastAsia="仿宋"/>
          <w:sz w:val="32"/>
          <w:szCs w:val="32"/>
        </w:rPr>
        <w:t>度部门</w:t>
      </w:r>
      <w:r>
        <w:rPr>
          <w:rFonts w:ascii="仿宋" w:hAnsi="仿宋" w:eastAsia="仿宋"/>
          <w:sz w:val="32"/>
          <w:szCs w:val="32"/>
        </w:rPr>
        <w:t>政府采购</w:t>
      </w:r>
      <w:r>
        <w:rPr>
          <w:rFonts w:hint="eastAsia" w:ascii="仿宋" w:hAnsi="仿宋" w:eastAsia="仿宋"/>
          <w:sz w:val="32"/>
          <w:szCs w:val="32"/>
        </w:rPr>
        <w:t>支出0.9</w:t>
      </w:r>
      <w:r>
        <w:rPr>
          <w:rFonts w:ascii="仿宋" w:hAnsi="仿宋" w:eastAsia="仿宋"/>
          <w:sz w:val="32"/>
          <w:szCs w:val="32"/>
        </w:rPr>
        <w:t>万元</w:t>
      </w:r>
      <w:r>
        <w:rPr>
          <w:rFonts w:hint="eastAsia" w:ascii="仿宋" w:hAnsi="仿宋" w:eastAsia="仿宋"/>
          <w:sz w:val="32"/>
          <w:szCs w:val="32"/>
        </w:rPr>
        <w:t>，其中：政府采购货物支出0.9万元，政府采购工程支出0万元，政府采购服务支出0万元。</w:t>
      </w:r>
    </w:p>
    <w:p>
      <w:pPr>
        <w:widowControl/>
        <w:spacing w:line="560" w:lineRule="exact"/>
        <w:ind w:firstLine="643" w:firstLineChars="200"/>
        <w:rPr>
          <w:rFonts w:ascii="仿宋" w:hAnsi="仿宋" w:eastAsia="仿宋"/>
          <w:sz w:val="32"/>
          <w:szCs w:val="32"/>
        </w:rPr>
      </w:pPr>
      <w:r>
        <w:rPr>
          <w:rFonts w:eastAsia="仿宋_GB2312"/>
          <w:b/>
          <w:bCs/>
          <w:sz w:val="32"/>
          <w:szCs w:val="32"/>
        </w:rPr>
        <w:t>3</w:t>
      </w:r>
      <w:r>
        <w:rPr>
          <w:rFonts w:hint="eastAsia" w:eastAsia="仿宋_GB2312"/>
          <w:b/>
          <w:bCs/>
          <w:sz w:val="32"/>
          <w:szCs w:val="32"/>
        </w:rPr>
        <w:t>、</w:t>
      </w:r>
      <w:r>
        <w:rPr>
          <w:rFonts w:eastAsia="仿宋_GB2312"/>
          <w:b/>
          <w:bCs/>
          <w:sz w:val="32"/>
          <w:szCs w:val="32"/>
        </w:rPr>
        <w:t>国有资产占用情况</w:t>
      </w:r>
      <w:r>
        <w:rPr>
          <w:rFonts w:hint="eastAsia" w:eastAsia="仿宋_GB2312"/>
          <w:b/>
          <w:bCs/>
          <w:sz w:val="32"/>
          <w:szCs w:val="32"/>
        </w:rPr>
        <w:t>:</w:t>
      </w:r>
      <w:r>
        <w:rPr>
          <w:rFonts w:hint="eastAsia" w:ascii="仿宋_GB2312" w:hAnsi="仿宋_GB2312" w:eastAsia="仿宋_GB2312"/>
          <w:color w:val="000000"/>
          <w:sz w:val="32"/>
        </w:rPr>
        <w:t>截至2017年12月31日，本部门</w:t>
      </w:r>
      <w:r>
        <w:rPr>
          <w:rFonts w:hint="eastAsia" w:ascii="仿宋" w:hAnsi="仿宋" w:eastAsia="仿宋"/>
          <w:sz w:val="32"/>
          <w:szCs w:val="32"/>
        </w:rPr>
        <w:t>共有车辆1辆，其中，一般公务用车1辆；单位价值50万元以上通用设备0台（套），单价100万元以上专用设备0台（套）。</w:t>
      </w:r>
    </w:p>
    <w:p>
      <w:pPr>
        <w:widowControl/>
        <w:spacing w:line="560" w:lineRule="exact"/>
        <w:ind w:firstLine="640" w:firstLineChars="200"/>
        <w:rPr>
          <w:rFonts w:ascii="仿宋_GB2312" w:hAnsi="仿宋_GB2312" w:eastAsia="仿宋_GB2312" w:cs="仿宋_GB2312"/>
          <w:color w:val="FF0000"/>
          <w:kern w:val="0"/>
          <w:sz w:val="32"/>
          <w:szCs w:val="32"/>
          <w:shd w:val="clear" w:color="auto" w:fill="FFFFFF"/>
        </w:rPr>
      </w:pPr>
    </w:p>
    <w:tbl>
      <w:tblPr>
        <w:tblStyle w:val="6"/>
        <w:tblW w:w="14174" w:type="dxa"/>
        <w:tblInd w:w="0" w:type="dxa"/>
        <w:tblLayout w:type="fixed"/>
        <w:tblCellMar>
          <w:top w:w="0" w:type="dxa"/>
          <w:left w:w="108" w:type="dxa"/>
          <w:bottom w:w="0" w:type="dxa"/>
          <w:right w:w="108" w:type="dxa"/>
        </w:tblCellMar>
      </w:tblPr>
      <w:tblGrid>
        <w:gridCol w:w="5493"/>
        <w:gridCol w:w="3314"/>
        <w:gridCol w:w="5367"/>
      </w:tblGrid>
      <w:tr>
        <w:tblPrEx>
          <w:tblLayout w:type="fixed"/>
          <w:tblCellMar>
            <w:top w:w="0" w:type="dxa"/>
            <w:left w:w="108" w:type="dxa"/>
            <w:bottom w:w="0" w:type="dxa"/>
            <w:right w:w="108" w:type="dxa"/>
          </w:tblCellMar>
        </w:tblPrEx>
        <w:trPr>
          <w:trHeight w:val="575" w:hRule="atLeast"/>
        </w:trPr>
        <w:tc>
          <w:tcPr>
            <w:tcW w:w="14174" w:type="dxa"/>
            <w:gridSpan w:val="3"/>
            <w:tcBorders>
              <w:top w:val="nil"/>
              <w:left w:val="nil"/>
              <w:bottom w:val="nil"/>
              <w:right w:val="nil"/>
            </w:tcBorders>
            <w:vAlign w:val="center"/>
          </w:tcPr>
          <w:p>
            <w:pPr>
              <w:widowControl/>
              <w:spacing w:line="560" w:lineRule="exact"/>
              <w:ind w:firstLine="562" w:firstLineChars="200"/>
              <w:jc w:val="center"/>
              <w:rPr>
                <w:rFonts w:ascii="宋体" w:hAnsi="宋体" w:cs="宋体"/>
                <w:b/>
                <w:bCs/>
                <w:kern w:val="0"/>
                <w:sz w:val="28"/>
                <w:szCs w:val="28"/>
              </w:rPr>
            </w:pPr>
            <w:r>
              <w:rPr>
                <w:rFonts w:hint="eastAsia" w:ascii="宋体" w:hAnsi="宋体" w:cs="宋体"/>
                <w:b/>
                <w:bCs/>
                <w:kern w:val="0"/>
                <w:sz w:val="28"/>
                <w:szCs w:val="28"/>
              </w:rPr>
              <w:t>霸州市人民政府支援油田建设办公室部门固定资产占用情况表</w:t>
            </w:r>
          </w:p>
          <w:p>
            <w:pPr>
              <w:autoSpaceDE w:val="0"/>
              <w:autoSpaceDN w:val="0"/>
              <w:snapToGrid w:val="0"/>
              <w:spacing w:line="560" w:lineRule="exact"/>
              <w:ind w:firstLine="562" w:firstLineChars="200"/>
              <w:jc w:val="center"/>
              <w:rPr>
                <w:rFonts w:ascii="宋体" w:hAnsi="宋体" w:cs="宋体"/>
                <w:b/>
                <w:bCs/>
                <w:kern w:val="0"/>
                <w:sz w:val="28"/>
                <w:szCs w:val="28"/>
              </w:rPr>
            </w:pPr>
          </w:p>
        </w:tc>
      </w:tr>
      <w:tr>
        <w:tblPrEx>
          <w:tblLayout w:type="fixed"/>
          <w:tblCellMar>
            <w:top w:w="0" w:type="dxa"/>
            <w:left w:w="108" w:type="dxa"/>
            <w:bottom w:w="0" w:type="dxa"/>
            <w:right w:w="108" w:type="dxa"/>
          </w:tblCellMar>
        </w:tblPrEx>
        <w:trPr>
          <w:trHeight w:val="493" w:hRule="atLeast"/>
        </w:trPr>
        <w:tc>
          <w:tcPr>
            <w:tcW w:w="8807" w:type="dxa"/>
            <w:gridSpan w:val="2"/>
            <w:tcBorders>
              <w:top w:val="nil"/>
              <w:left w:val="nil"/>
              <w:bottom w:val="nil"/>
              <w:right w:val="nil"/>
            </w:tcBorders>
            <w:vAlign w:val="center"/>
          </w:tcPr>
          <w:p>
            <w:pPr>
              <w:widowControl/>
              <w:spacing w:line="560" w:lineRule="exact"/>
              <w:rPr>
                <w:kern w:val="0"/>
                <w:sz w:val="22"/>
              </w:rPr>
            </w:pPr>
            <w:r>
              <w:rPr>
                <w:rFonts w:hint="eastAsia" w:ascii="宋体" w:hAnsi="宋体" w:cs="宋体"/>
                <w:kern w:val="0"/>
                <w:sz w:val="22"/>
              </w:rPr>
              <w:t>编制部门：104</w:t>
            </w:r>
            <w:r>
              <w:rPr>
                <w:rFonts w:hint="eastAsia"/>
                <w:kern w:val="0"/>
                <w:sz w:val="22"/>
              </w:rPr>
              <w:t>霸州市人民政府支援油田建设办公室</w:t>
            </w:r>
          </w:p>
        </w:tc>
        <w:tc>
          <w:tcPr>
            <w:tcW w:w="5367" w:type="dxa"/>
            <w:tcBorders>
              <w:top w:val="nil"/>
              <w:left w:val="nil"/>
              <w:bottom w:val="nil"/>
              <w:right w:val="nil"/>
            </w:tcBorders>
            <w:vAlign w:val="center"/>
          </w:tcPr>
          <w:p>
            <w:pPr>
              <w:widowControl/>
              <w:spacing w:line="560" w:lineRule="exact"/>
              <w:rPr>
                <w:kern w:val="0"/>
                <w:sz w:val="22"/>
              </w:rPr>
            </w:pPr>
            <w:r>
              <w:rPr>
                <w:kern w:val="0"/>
                <w:sz w:val="22"/>
              </w:rPr>
              <w:t>截止时间：201</w:t>
            </w:r>
            <w:r>
              <w:rPr>
                <w:rFonts w:hint="eastAsia"/>
                <w:kern w:val="0"/>
                <w:sz w:val="22"/>
              </w:rPr>
              <w:t>7</w:t>
            </w:r>
            <w:r>
              <w:rPr>
                <w:kern w:val="0"/>
                <w:sz w:val="22"/>
              </w:rPr>
              <w:t>年12月31日</w:t>
            </w:r>
          </w:p>
        </w:tc>
      </w:tr>
      <w:tr>
        <w:tblPrEx>
          <w:tblLayout w:type="fixed"/>
          <w:tblCellMar>
            <w:top w:w="0" w:type="dxa"/>
            <w:left w:w="108" w:type="dxa"/>
            <w:bottom w:w="0" w:type="dxa"/>
            <w:right w:w="108" w:type="dxa"/>
          </w:tblCellMar>
        </w:tblPrEx>
        <w:trPr>
          <w:trHeight w:val="571" w:hRule="atLeast"/>
        </w:trPr>
        <w:tc>
          <w:tcPr>
            <w:tcW w:w="54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项  目</w:t>
            </w:r>
          </w:p>
        </w:tc>
        <w:tc>
          <w:tcPr>
            <w:tcW w:w="3314"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数量</w:t>
            </w:r>
          </w:p>
        </w:tc>
        <w:tc>
          <w:tcPr>
            <w:tcW w:w="5367"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资产总额</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w:t>
            </w: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57.64</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1、房屋（平方米）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 xml:space="preserve">  </w:t>
            </w:r>
            <w:r>
              <w:rPr>
                <w:rFonts w:hint="eastAsia"/>
                <w:kern w:val="0"/>
                <w:sz w:val="22"/>
              </w:rPr>
              <w:t xml:space="preserve">  其中：办公用房（平方米）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2、车辆（台、辆）</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w:t>
            </w: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23.50</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3、单价在50万元以上的设备</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613"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4、其他固定资产</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34.14</w:t>
            </w:r>
          </w:p>
        </w:tc>
      </w:tr>
    </w:tbl>
    <w:p>
      <w:pPr>
        <w:widowControl/>
        <w:spacing w:line="560" w:lineRule="exact"/>
        <w:ind w:firstLine="643" w:firstLineChars="200"/>
        <w:rPr>
          <w:rFonts w:eastAsiaTheme="minorEastAsia"/>
          <w:b/>
          <w:bCs/>
          <w:sz w:val="32"/>
          <w:szCs w:val="32"/>
        </w:rPr>
      </w:pPr>
      <w:r>
        <w:rPr>
          <w:rFonts w:eastAsia="仿宋_GB2312"/>
          <w:b/>
          <w:bCs/>
          <w:sz w:val="32"/>
          <w:szCs w:val="32"/>
        </w:rPr>
        <w:t>4</w:t>
      </w:r>
      <w:r>
        <w:rPr>
          <w:rFonts w:hint="eastAsia" w:eastAsia="仿宋_GB2312"/>
          <w:b/>
          <w:bCs/>
          <w:sz w:val="32"/>
          <w:szCs w:val="32"/>
        </w:rPr>
        <w:t>、</w:t>
      </w:r>
      <w:r>
        <w:rPr>
          <w:rFonts w:eastAsia="仿宋_GB2312"/>
          <w:b/>
          <w:bCs/>
          <w:sz w:val="32"/>
          <w:szCs w:val="32"/>
        </w:rPr>
        <w:t>其他需要说明的情况</w:t>
      </w:r>
      <w:r>
        <w:rPr>
          <w:rFonts w:hint="eastAsia" w:eastAsia="仿宋_GB2312"/>
          <w:b/>
          <w:bCs/>
          <w:sz w:val="32"/>
          <w:szCs w:val="32"/>
        </w:rPr>
        <w:t>:</w:t>
      </w:r>
    </w:p>
    <w:p>
      <w:pPr>
        <w:widowControl/>
        <w:shd w:val="clear" w:color="auto" w:fill="FFFFFF"/>
        <w:spacing w:line="580" w:lineRule="exact"/>
        <w:ind w:firstLine="640" w:firstLineChars="200"/>
        <w:jc w:val="left"/>
        <w:rPr>
          <w:rFonts w:hint="eastAsia" w:ascii="Times New Roman" w:hAnsi="Arial" w:eastAsia="仿宋_GB2312" w:cs="Arial"/>
          <w:color w:val="000000"/>
          <w:kern w:val="0"/>
          <w:sz w:val="32"/>
          <w:szCs w:val="32"/>
        </w:rPr>
      </w:pPr>
      <w:r>
        <w:rPr>
          <w:rFonts w:hint="eastAsia" w:ascii="Times New Roman" w:hAnsi="Arial" w:eastAsia="仿宋_GB2312" w:cs="Arial"/>
          <w:color w:val="000000"/>
          <w:kern w:val="0"/>
          <w:sz w:val="32"/>
          <w:szCs w:val="32"/>
        </w:rPr>
        <w:t>由于决算公开表格中金额数值应当保留两位小数，公开数据为四舍五入计算结果，个别数据合计项与分项之和存在小数点后差额，特此说明。</w:t>
      </w:r>
    </w:p>
    <w:p>
      <w:pPr>
        <w:autoSpaceDE w:val="0"/>
        <w:autoSpaceDN w:val="0"/>
        <w:adjustRightInd w:val="0"/>
        <w:spacing w:line="560" w:lineRule="exact"/>
        <w:ind w:firstLine="640" w:firstLineChars="200"/>
        <w:rPr>
          <w:rFonts w:ascii="仿宋" w:hAnsi="仿宋" w:eastAsia="仿宋" w:cs="仿宋"/>
          <w:sz w:val="32"/>
          <w:szCs w:val="32"/>
        </w:rPr>
      </w:pPr>
      <w:r>
        <w:rPr>
          <w:rFonts w:hint="eastAsia" w:eastAsia="黑体"/>
          <w:sz w:val="32"/>
          <w:szCs w:val="32"/>
        </w:rPr>
        <w:t>四、</w:t>
      </w:r>
      <w:r>
        <w:rPr>
          <w:rFonts w:eastAsia="黑体"/>
          <w:sz w:val="32"/>
          <w:szCs w:val="32"/>
        </w:rPr>
        <w:t>名词解释</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（二）其他收入：指除上述</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财政拨款收入</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事业收入</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经营收入</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等以外的收入。</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（三）年初结转和结余：指以前年度尚未完成、结转到本年仍按原规定用途继续使用的资金，或项目已完成等产生的结余资金。</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（四）年末结转和结余：指单位按有关规定结转到下年或以后年度继续使用的资金，或项目已完成等产生的结余资金。</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（五）基本支出：填列单位为保障机构正常运转、完成日常工作任务而发生的各项支出。</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（六）项目支出：填列单位为完成特定的行政工作任务或事业发展目标，在基本支出之外发生的各项支出</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（七）其他资本性支出：填列由各级非发展与改革部门集中安排的用于购置固定资产、战备性和应急性储备、土地和无形资产，以及购建基础设施、大型修缮和财政支持企业更新改造所发生的支出。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（八）</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三公</w:t>
      </w:r>
      <w:r>
        <w:rPr>
          <w:rFonts w:hint="eastAsia" w:ascii="Times New Roman" w:hAnsi="Times New Roman" w:eastAsia="仿宋_GB2312"/>
          <w:color w:val="000000"/>
          <w:kern w:val="0"/>
          <w:sz w:val="32"/>
          <w:szCs w:val="32"/>
        </w:rPr>
        <w:t>”</w:t>
      </w:r>
      <w:r>
        <w:rPr>
          <w:rFonts w:hint="eastAsia" w:ascii="Times New Roman" w:hAnsi="Arial" w:eastAsia="仿宋_GB2312" w:cs="Arial"/>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（九）其他交通费用：填列单位除公务用车运行维护费以外的其他交通费用。如飞机、船舶等的燃料费、维修费、过桥过路费、保险费、出租车费用、公务交通补贴等。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exact"/>
        <w:ind w:firstLine="640" w:firstLineChars="200"/>
        <w:jc w:val="left"/>
        <w:rPr>
          <w:rFonts w:ascii="Times New Roman" w:hAnsi="Arial" w:eastAsia="方正小标宋_GBK" w:cs="Arial"/>
          <w:kern w:val="0"/>
          <w:sz w:val="44"/>
        </w:rPr>
      </w:pPr>
      <w:r>
        <w:rPr>
          <w:rFonts w:hint="eastAsia" w:ascii="Times New Roman" w:hAnsi="Arial" w:eastAsia="仿宋_GB2312" w:cs="Arial"/>
          <w:color w:val="000000"/>
          <w:kern w:val="0"/>
          <w:sz w:val="32"/>
          <w:szCs w:val="32"/>
        </w:rPr>
        <w:t>（十）</w:t>
      </w:r>
      <w:r>
        <w:rPr>
          <w:rFonts w:hint="eastAsia" w:ascii="Times New Roman" w:hAnsi="Times New Roman" w:eastAsia="仿宋_GB2312"/>
          <w:color w:val="000000"/>
          <w:kern w:val="0"/>
          <w:sz w:val="32"/>
          <w:szCs w:val="32"/>
        </w:rPr>
        <w:t xml:space="preserve"> </w:t>
      </w:r>
      <w:r>
        <w:rPr>
          <w:rFonts w:hint="eastAsia" w:ascii="Times New Roman" w:hAnsi="Arial" w:eastAsia="仿宋_GB2312" w:cs="Arial"/>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bookmarkStart w:id="0" w:name="_GoBack"/>
      <w:bookmarkEnd w:id="0"/>
    </w:p>
    <w:p>
      <w:pPr>
        <w:widowControl/>
        <w:spacing w:line="560" w:lineRule="exact"/>
        <w:ind w:firstLine="420" w:firstLineChars="200"/>
      </w:pPr>
    </w:p>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4408"/>
    <w:rsid w:val="0002346D"/>
    <w:rsid w:val="00052DDA"/>
    <w:rsid w:val="00063E85"/>
    <w:rsid w:val="00067F6A"/>
    <w:rsid w:val="0008027E"/>
    <w:rsid w:val="00083263"/>
    <w:rsid w:val="0009116F"/>
    <w:rsid w:val="000D4069"/>
    <w:rsid w:val="000E13BF"/>
    <w:rsid w:val="000F2D94"/>
    <w:rsid w:val="000F352C"/>
    <w:rsid w:val="00155E7F"/>
    <w:rsid w:val="00157627"/>
    <w:rsid w:val="00162A32"/>
    <w:rsid w:val="001700CC"/>
    <w:rsid w:val="0018271C"/>
    <w:rsid w:val="001E6189"/>
    <w:rsid w:val="001F110B"/>
    <w:rsid w:val="001F13B8"/>
    <w:rsid w:val="00223421"/>
    <w:rsid w:val="002363AE"/>
    <w:rsid w:val="00266D4B"/>
    <w:rsid w:val="00272E4E"/>
    <w:rsid w:val="00285938"/>
    <w:rsid w:val="00291E71"/>
    <w:rsid w:val="002E468F"/>
    <w:rsid w:val="00302DC9"/>
    <w:rsid w:val="00303019"/>
    <w:rsid w:val="003049FC"/>
    <w:rsid w:val="00345589"/>
    <w:rsid w:val="00345D75"/>
    <w:rsid w:val="00356C17"/>
    <w:rsid w:val="003B25FF"/>
    <w:rsid w:val="003C15A5"/>
    <w:rsid w:val="003F21D3"/>
    <w:rsid w:val="003F562D"/>
    <w:rsid w:val="003F7FD3"/>
    <w:rsid w:val="004479D6"/>
    <w:rsid w:val="0045322C"/>
    <w:rsid w:val="0045685C"/>
    <w:rsid w:val="00462A58"/>
    <w:rsid w:val="00464048"/>
    <w:rsid w:val="00497536"/>
    <w:rsid w:val="004C5459"/>
    <w:rsid w:val="004C5EE1"/>
    <w:rsid w:val="00527A82"/>
    <w:rsid w:val="00532322"/>
    <w:rsid w:val="00542A9A"/>
    <w:rsid w:val="00562B4F"/>
    <w:rsid w:val="00584A71"/>
    <w:rsid w:val="00586A73"/>
    <w:rsid w:val="00614BE8"/>
    <w:rsid w:val="006172B1"/>
    <w:rsid w:val="00633FE9"/>
    <w:rsid w:val="00634B10"/>
    <w:rsid w:val="0067347D"/>
    <w:rsid w:val="006F0776"/>
    <w:rsid w:val="00724E42"/>
    <w:rsid w:val="00732850"/>
    <w:rsid w:val="007339A5"/>
    <w:rsid w:val="00755A5C"/>
    <w:rsid w:val="00766700"/>
    <w:rsid w:val="00797A5E"/>
    <w:rsid w:val="007E5B24"/>
    <w:rsid w:val="0080076F"/>
    <w:rsid w:val="00825A68"/>
    <w:rsid w:val="00831A9E"/>
    <w:rsid w:val="00846E50"/>
    <w:rsid w:val="008B7D6E"/>
    <w:rsid w:val="008D5A8C"/>
    <w:rsid w:val="008E4610"/>
    <w:rsid w:val="009065DB"/>
    <w:rsid w:val="00930713"/>
    <w:rsid w:val="00964408"/>
    <w:rsid w:val="009C63ED"/>
    <w:rsid w:val="00A0493F"/>
    <w:rsid w:val="00A24089"/>
    <w:rsid w:val="00A50106"/>
    <w:rsid w:val="00A8165C"/>
    <w:rsid w:val="00A82EF6"/>
    <w:rsid w:val="00AA4702"/>
    <w:rsid w:val="00AB2588"/>
    <w:rsid w:val="00AC30A5"/>
    <w:rsid w:val="00AC4E56"/>
    <w:rsid w:val="00B61931"/>
    <w:rsid w:val="00B802F5"/>
    <w:rsid w:val="00B84296"/>
    <w:rsid w:val="00B97528"/>
    <w:rsid w:val="00BA25DB"/>
    <w:rsid w:val="00BD5F96"/>
    <w:rsid w:val="00BF2995"/>
    <w:rsid w:val="00BF720C"/>
    <w:rsid w:val="00C10D28"/>
    <w:rsid w:val="00C20896"/>
    <w:rsid w:val="00C20C5F"/>
    <w:rsid w:val="00D03823"/>
    <w:rsid w:val="00D153F6"/>
    <w:rsid w:val="00D54905"/>
    <w:rsid w:val="00D63209"/>
    <w:rsid w:val="00D64951"/>
    <w:rsid w:val="00D65ED2"/>
    <w:rsid w:val="00D73AD2"/>
    <w:rsid w:val="00D73BB3"/>
    <w:rsid w:val="00DB4B95"/>
    <w:rsid w:val="00DC2A11"/>
    <w:rsid w:val="00DD291E"/>
    <w:rsid w:val="00E57B18"/>
    <w:rsid w:val="00E84C76"/>
    <w:rsid w:val="00E866D9"/>
    <w:rsid w:val="00EB0C1B"/>
    <w:rsid w:val="00EC3014"/>
    <w:rsid w:val="00EE4C24"/>
    <w:rsid w:val="00EE56D2"/>
    <w:rsid w:val="00EF37D7"/>
    <w:rsid w:val="00F31BA3"/>
    <w:rsid w:val="00F510A7"/>
    <w:rsid w:val="00F85EB1"/>
    <w:rsid w:val="00F85FF7"/>
    <w:rsid w:val="00FC39B7"/>
    <w:rsid w:val="00FE140E"/>
    <w:rsid w:val="05C84AA8"/>
    <w:rsid w:val="1F396A0B"/>
    <w:rsid w:val="2F585F5A"/>
    <w:rsid w:val="33D82BE3"/>
    <w:rsid w:val="417B6A6A"/>
    <w:rsid w:val="41CE251B"/>
    <w:rsid w:val="42AA6D84"/>
    <w:rsid w:val="438B4737"/>
    <w:rsid w:val="49D77C80"/>
    <w:rsid w:val="5A4012BE"/>
    <w:rsid w:val="5CB61F09"/>
    <w:rsid w:val="62E72780"/>
    <w:rsid w:val="74B56911"/>
    <w:rsid w:val="78A01D91"/>
    <w:rsid w:val="7A33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DF9DB-D567-4719-A134-FF0E9C4F6764}">
  <ds:schemaRefs/>
</ds:datastoreItem>
</file>

<file path=docProps/app.xml><?xml version="1.0" encoding="utf-8"?>
<Properties xmlns="http://schemas.openxmlformats.org/officeDocument/2006/extended-properties" xmlns:vt="http://schemas.openxmlformats.org/officeDocument/2006/docPropsVTypes">
  <Template>0.docx</Template>
  <Pages>9</Pages>
  <Words>556</Words>
  <Characters>3175</Characters>
  <Lines>26</Lines>
  <Paragraphs>7</Paragraphs>
  <TotalTime>1</TotalTime>
  <ScaleCrop>false</ScaleCrop>
  <LinksUpToDate>false</LinksUpToDate>
  <CharactersWithSpaces>3724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无心之言*</cp:lastModifiedBy>
  <cp:lastPrinted>2018-10-10T00:45:00Z</cp:lastPrinted>
  <dcterms:modified xsi:type="dcterms:W3CDTF">2019-01-24T08:34:50Z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